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90"/>
        </w:tabs>
        <w:spacing w:after="0" w:lineRule="auto"/>
        <w:ind w:hanging="360"/>
        <w:jc w:val="center"/>
        <w:rPr>
          <w:rFonts w:ascii="Verdana" w:cs="Verdana" w:eastAsia="Verdana" w:hAnsi="Verdana"/>
          <w:b w:val="0"/>
          <w:u w:val="single"/>
          <w:vertAlign w:val="baseline"/>
        </w:rPr>
      </w:pPr>
      <w:r w:rsidDel="00000000" w:rsidR="00000000" w:rsidRPr="00000000">
        <w:rPr>
          <w:rFonts w:ascii="Verdana" w:cs="Verdana" w:eastAsia="Verdana" w:hAnsi="Verdana"/>
          <w:b w:val="1"/>
          <w:sz w:val="28"/>
          <w:szCs w:val="28"/>
          <w:u w:val="single"/>
          <w:vertAlign w:val="baseline"/>
          <w:rtl w:val="0"/>
        </w:rPr>
        <w:t xml:space="preserve">Typical Specifications for 6-inch Netlon ATS/Sand Profile</w:t>
      </w:r>
      <w:r w:rsidDel="00000000" w:rsidR="00000000" w:rsidRPr="00000000">
        <w:rPr>
          <w:rtl w:val="0"/>
        </w:rPr>
      </w:r>
    </w:p>
    <w:p w:rsidR="00000000" w:rsidDel="00000000" w:rsidP="00000000" w:rsidRDefault="00000000" w:rsidRPr="00000000" w14:paraId="00000002">
      <w:pPr>
        <w:spacing w:after="0" w:lineRule="auto"/>
        <w:ind w:hanging="360"/>
        <w:jc w:val="center"/>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03">
      <w:pPr>
        <w:spacing w:after="0" w:lineRule="auto"/>
        <w:ind w:hanging="36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04">
      <w:pPr>
        <w:spacing w:after="0" w:lineRule="auto"/>
        <w:rPr>
          <w:rFonts w:ascii="Verdana" w:cs="Verdana" w:eastAsia="Verdana" w:hAnsi="Verdana"/>
          <w:b w:val="0"/>
          <w:sz w:val="24"/>
          <w:szCs w:val="24"/>
          <w:u w:val="single"/>
          <w:vertAlign w:val="baseline"/>
        </w:rPr>
      </w:pPr>
      <w:r w:rsidDel="00000000" w:rsidR="00000000" w:rsidRPr="00000000">
        <w:rPr>
          <w:rFonts w:ascii="Verdana" w:cs="Verdana" w:eastAsia="Verdana" w:hAnsi="Verdana"/>
          <w:b w:val="1"/>
          <w:sz w:val="24"/>
          <w:szCs w:val="24"/>
          <w:u w:val="single"/>
          <w:vertAlign w:val="baseline"/>
          <w:rtl w:val="0"/>
        </w:rPr>
        <w:t xml:space="preserve">1) Netlon Advanced Turf System, ATS</w:t>
      </w:r>
      <w:r w:rsidDel="00000000" w:rsidR="00000000" w:rsidRPr="00000000">
        <w:rPr>
          <w:rtl w:val="0"/>
        </w:rPr>
      </w:r>
    </w:p>
    <w:p w:rsidR="00000000" w:rsidDel="00000000" w:rsidP="00000000" w:rsidRDefault="00000000" w:rsidRPr="00000000" w14:paraId="00000005">
      <w:pPr>
        <w:spacing w:after="0" w:lineRule="auto"/>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6">
      <w:pPr>
        <w:spacing w:after="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1.1   Structural engineered sand base layer.</w:t>
      </w:r>
      <w:r w:rsidDel="00000000" w:rsidR="00000000" w:rsidRPr="00000000">
        <w:rPr>
          <w:rtl w:val="0"/>
        </w:rPr>
      </w:r>
    </w:p>
    <w:p w:rsidR="00000000" w:rsidDel="00000000" w:rsidP="00000000" w:rsidRDefault="00000000" w:rsidRPr="00000000" w14:paraId="00000007">
      <w:pPr>
        <w:spacing w:after="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1.2   </w:t>
      </w:r>
      <w:r w:rsidDel="00000000" w:rsidR="00000000" w:rsidRPr="00000000">
        <w:rPr>
          <w:rFonts w:ascii="Verdana" w:cs="Verdana" w:eastAsia="Verdana" w:hAnsi="Verdana"/>
          <w:b w:val="1"/>
          <w:sz w:val="20"/>
          <w:szCs w:val="20"/>
          <w:rtl w:val="0"/>
        </w:rPr>
        <w:t xml:space="preserve">Netlon Advanced Turf Fibers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3"/>
        <w:spacing w:after="0" w:before="0" w:line="276" w:lineRule="auto"/>
        <w:ind w:left="360" w:hanging="360"/>
        <w:rPr>
          <w:rFonts w:ascii="Verdana" w:cs="Verdana" w:eastAsia="Verdana" w:hAnsi="Verdana"/>
          <w:sz w:val="24"/>
          <w:szCs w:val="24"/>
          <w:u w:val="single"/>
          <w:vertAlign w:val="baseline"/>
        </w:rPr>
      </w:pPr>
      <w:r w:rsidDel="00000000" w:rsidR="00000000" w:rsidRPr="00000000">
        <w:rPr>
          <w:rFonts w:ascii="Verdana" w:cs="Verdana" w:eastAsia="Verdana" w:hAnsi="Verdana"/>
          <w:b w:val="1"/>
          <w:sz w:val="24"/>
          <w:szCs w:val="24"/>
          <w:u w:val="single"/>
          <w:vertAlign w:val="baseline"/>
          <w:rtl w:val="0"/>
        </w:rPr>
        <w:t xml:space="preserve">2)</w:t>
        <w:tab/>
        <w:t xml:space="preserve">Sand Material </w:t>
      </w:r>
      <w:r w:rsidDel="00000000" w:rsidR="00000000" w:rsidRPr="00000000">
        <w:rPr>
          <w:rtl w:val="0"/>
        </w:rPr>
      </w:r>
    </w:p>
    <w:p w:rsidR="00000000" w:rsidDel="00000000" w:rsidP="00000000" w:rsidRDefault="00000000" w:rsidRPr="00000000" w14:paraId="0000000A">
      <w:pPr>
        <w:spacing w:after="0" w:lineRule="auto"/>
        <w:ind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ab/>
      </w:r>
    </w:p>
    <w:p w:rsidR="00000000" w:rsidDel="00000000" w:rsidP="00000000" w:rsidRDefault="00000000" w:rsidRPr="00000000" w14:paraId="0000000B">
      <w:pPr>
        <w:spacing w:after="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The sand to be blended with Netlon ATS shall meet Specifications of:    </w:t>
      </w:r>
    </w:p>
    <w:p w:rsidR="00000000" w:rsidDel="00000000" w:rsidP="00000000" w:rsidRDefault="00000000" w:rsidRPr="00000000" w14:paraId="0000000C">
      <w:pPr>
        <w:spacing w:after="0" w:lineRule="auto"/>
        <w:ind w:left="1800" w:hanging="36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D">
      <w:pPr>
        <w:spacing w:after="0" w:lineRule="auto"/>
        <w:ind w:left="108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1.   General Specifications of ASTM F2396-04, Standard Guide for Construction of High Performance Sand-Based Rootzones for Sportsfields.</w:t>
      </w:r>
    </w:p>
    <w:p w:rsidR="00000000" w:rsidDel="00000000" w:rsidP="00000000" w:rsidRDefault="00000000" w:rsidRPr="00000000" w14:paraId="0000000E">
      <w:pPr>
        <w:numPr>
          <w:ilvl w:val="0"/>
          <w:numId w:val="3"/>
        </w:numPr>
        <w:spacing w:after="0" w:lineRule="auto"/>
        <w:ind w:left="108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The sand should be advertised as “washed sand”, where most of the silt and clay particles have been removed. </w:t>
      </w:r>
    </w:p>
    <w:p w:rsidR="00000000" w:rsidDel="00000000" w:rsidP="00000000" w:rsidRDefault="00000000" w:rsidRPr="00000000" w14:paraId="0000000F">
      <w:pPr>
        <w:numPr>
          <w:ilvl w:val="0"/>
          <w:numId w:val="3"/>
        </w:numPr>
        <w:tabs>
          <w:tab w:val="left" w:leader="none" w:pos="720"/>
        </w:tabs>
        <w:spacing w:after="0" w:lineRule="auto"/>
        <w:ind w:left="108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The pH of the sand should be in the neutral range (6.5-7.5).</w:t>
      </w:r>
    </w:p>
    <w:p w:rsidR="00000000" w:rsidDel="00000000" w:rsidP="00000000" w:rsidRDefault="00000000" w:rsidRPr="00000000" w14:paraId="00000010">
      <w:pPr>
        <w:numPr>
          <w:ilvl w:val="0"/>
          <w:numId w:val="3"/>
        </w:numPr>
        <w:spacing w:after="0" w:lineRule="auto"/>
        <w:ind w:left="108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The sand should feel “gritty” when rubbed between the fingers, crumble readily when dry, and absorb water quickly when water is poured on top of it.</w:t>
      </w:r>
    </w:p>
    <w:p w:rsidR="00000000" w:rsidDel="00000000" w:rsidP="00000000" w:rsidRDefault="00000000" w:rsidRPr="00000000" w14:paraId="00000011">
      <w:pPr>
        <w:numPr>
          <w:ilvl w:val="0"/>
          <w:numId w:val="3"/>
        </w:numPr>
        <w:spacing w:after="0" w:lineRule="auto"/>
        <w:ind w:left="108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Ideal sand should have 90 to 100 percent of its particles between 0.20 mm and 1.0 mm in diameter.  Within this range, the medium sized particles, with a diameter between 0.25 mm and 0.50 mm, should comprise at least 50 to 70 percent.  However, the preferred acceptable ranges are listed below:</w:t>
      </w:r>
    </w:p>
    <w:p w:rsidR="00000000" w:rsidDel="00000000" w:rsidP="00000000" w:rsidRDefault="00000000" w:rsidRPr="00000000" w14:paraId="00000012">
      <w:pPr>
        <w:spacing w:after="0" w:lineRule="auto"/>
        <w:ind w:left="1980" w:hanging="360"/>
        <w:rPr>
          <w:rFonts w:ascii="Verdana" w:cs="Verdana" w:eastAsia="Verdana" w:hAnsi="Verdana"/>
          <w:sz w:val="18"/>
          <w:szCs w:val="18"/>
          <w:vertAlign w:val="baseline"/>
        </w:rPr>
      </w:pPr>
      <w:r w:rsidDel="00000000" w:rsidR="00000000" w:rsidRPr="00000000">
        <w:rPr>
          <w:rtl w:val="0"/>
        </w:rPr>
      </w:r>
    </w:p>
    <w:tbl>
      <w:tblPr>
        <w:tblStyle w:val="Table1"/>
        <w:tblW w:w="9189.0" w:type="dxa"/>
        <w:jc w:val="center"/>
        <w:tblBorders>
          <w:top w:color="000000" w:space="0" w:sz="18" w:val="single"/>
          <w:left w:color="000000" w:space="0" w:sz="18" w:val="single"/>
          <w:bottom w:color="000000" w:space="0" w:sz="18" w:val="single"/>
          <w:right w:color="000000" w:space="0" w:sz="18" w:val="single"/>
          <w:insideH w:color="000000" w:space="0" w:sz="0" w:val="nil"/>
          <w:insideV w:color="000000" w:space="0" w:sz="0" w:val="nil"/>
        </w:tblBorders>
        <w:tblLayout w:type="fixed"/>
        <w:tblLook w:val="0000"/>
      </w:tblPr>
      <w:tblGrid>
        <w:gridCol w:w="2368"/>
        <w:gridCol w:w="2276"/>
        <w:gridCol w:w="1609"/>
        <w:gridCol w:w="2936"/>
        <w:tblGridChange w:id="0">
          <w:tblGrid>
            <w:gridCol w:w="2368"/>
            <w:gridCol w:w="2276"/>
            <w:gridCol w:w="1609"/>
            <w:gridCol w:w="2936"/>
          </w:tblGrid>
        </w:tblGridChange>
      </w:tblGrid>
      <w:tr>
        <w:trPr>
          <w:cantSplit w:val="0"/>
          <w:tblHeader w:val="0"/>
        </w:trPr>
        <w:tc>
          <w:tcPr>
            <w:tcBorders>
              <w:top w:color="000000" w:space="0" w:sz="18" w:val="single"/>
              <w:bottom w:color="000000" w:space="0" w:sz="18" w:val="single"/>
              <w:right w:color="000000" w:space="0" w:sz="4" w:val="single"/>
            </w:tcBorders>
            <w:vAlign w:val="center"/>
          </w:tcPr>
          <w:p w:rsidR="00000000" w:rsidDel="00000000" w:rsidP="00000000" w:rsidRDefault="00000000" w:rsidRPr="00000000" w14:paraId="00000013">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CLASSIFICATION</w:t>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014">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PARTICLE SIZE (mm)</w:t>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015">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SIEVE #</w:t>
            </w:r>
          </w:p>
        </w:tc>
        <w:tc>
          <w:tcPr>
            <w:tcBorders>
              <w:top w:color="000000" w:space="0" w:sz="18" w:val="single"/>
              <w:left w:color="000000" w:space="0" w:sz="4" w:val="single"/>
              <w:bottom w:color="000000" w:space="0" w:sz="18" w:val="single"/>
            </w:tcBorders>
            <w:vAlign w:val="center"/>
          </w:tcPr>
          <w:p w:rsidR="00000000" w:rsidDel="00000000" w:rsidP="00000000" w:rsidRDefault="00000000" w:rsidRPr="00000000" w14:paraId="00000016">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ACCEPTABLE RANGE (%)</w:t>
            </w:r>
          </w:p>
        </w:tc>
      </w:tr>
      <w:tr>
        <w:trPr>
          <w:cantSplit w:val="1"/>
          <w:tblHeader w:val="0"/>
        </w:trPr>
        <w:tc>
          <w:tcPr>
            <w:tcBorders>
              <w:top w:color="000000" w:space="0" w:sz="18" w:val="single"/>
              <w:bottom w:color="000000" w:space="0" w:sz="4" w:val="single"/>
              <w:right w:color="000000" w:space="0" w:sz="4" w:val="single"/>
            </w:tcBorders>
            <w:vAlign w:val="center"/>
          </w:tcPr>
          <w:p w:rsidR="00000000" w:rsidDel="00000000" w:rsidP="00000000" w:rsidRDefault="00000000" w:rsidRPr="00000000" w14:paraId="00000017">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FINE GRAVEL</w:t>
            </w:r>
          </w:p>
        </w:tc>
        <w:tc>
          <w:tcPr>
            <w:tcBorders>
              <w:top w:color="000000" w:space="0" w:sz="1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2.00 AND UP</w:t>
            </w:r>
          </w:p>
        </w:tc>
        <w:tc>
          <w:tcPr>
            <w:tcBorders>
              <w:top w:color="000000" w:space="0" w:sz="1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10</w:t>
            </w:r>
          </w:p>
        </w:tc>
        <w:tc>
          <w:tcPr>
            <w:vMerge w:val="restart"/>
            <w:tcBorders>
              <w:top w:color="000000" w:space="0" w:sz="18" w:val="single"/>
              <w:left w:color="000000" w:space="0" w:sz="4" w:val="single"/>
              <w:bottom w:color="000000" w:space="0" w:sz="0" w:val="nil"/>
            </w:tcBorders>
            <w:vAlign w:val="center"/>
          </w:tcPr>
          <w:p w:rsidR="00000000" w:rsidDel="00000000" w:rsidP="00000000" w:rsidRDefault="00000000" w:rsidRPr="00000000" w14:paraId="0000001A">
            <w:pPr>
              <w:spacing w:after="0" w:lineRule="auto"/>
              <w:ind w:hanging="360"/>
              <w:jc w:val="center"/>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1B">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0 – 10</w:t>
            </w:r>
          </w:p>
        </w:tc>
      </w:tr>
      <w:tr>
        <w:trPr>
          <w:cantSplit w:val="1"/>
          <w:tblHeader w:val="0"/>
        </w:trPr>
        <w:tc>
          <w:tcPr>
            <w:tcBorders>
              <w:top w:color="000000" w:space="0" w:sz="4" w:val="single"/>
              <w:bottom w:color="000000" w:space="0" w:sz="18" w:val="single"/>
              <w:right w:color="000000" w:space="0" w:sz="4" w:val="single"/>
            </w:tcBorders>
            <w:vAlign w:val="center"/>
          </w:tcPr>
          <w:p w:rsidR="00000000" w:rsidDel="00000000" w:rsidP="00000000" w:rsidRDefault="00000000" w:rsidRPr="00000000" w14:paraId="0000001C">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VERY COURSE SAND</w:t>
            </w:r>
          </w:p>
        </w:tc>
        <w:tc>
          <w:tcPr>
            <w:tcBorders>
              <w:top w:color="000000" w:space="0" w:sz="4"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01D">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1.00 – 2.00</w:t>
            </w:r>
          </w:p>
        </w:tc>
        <w:tc>
          <w:tcPr>
            <w:tcBorders>
              <w:top w:color="000000" w:space="0" w:sz="4"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01E">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18</w:t>
            </w:r>
          </w:p>
        </w:tc>
        <w:tc>
          <w:tcPr>
            <w:vMerge w:val="continue"/>
            <w:tcBorders>
              <w:top w:color="000000" w:space="0" w:sz="18" w:val="single"/>
              <w:left w:color="000000" w:space="0" w:sz="4" w:val="single"/>
              <w:bottom w:color="000000" w:space="0" w:sz="0" w:val="nil"/>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vertAlign w:val="baseline"/>
              </w:rPr>
            </w:pPr>
            <w:r w:rsidDel="00000000" w:rsidR="00000000" w:rsidRPr="00000000">
              <w:rPr>
                <w:rtl w:val="0"/>
              </w:rPr>
            </w:r>
          </w:p>
        </w:tc>
      </w:tr>
      <w:tr>
        <w:trPr>
          <w:cantSplit w:val="1"/>
          <w:tblHeader w:val="0"/>
        </w:trPr>
        <w:tc>
          <w:tcPr>
            <w:tcBorders>
              <w:top w:color="000000" w:space="0" w:sz="18" w:val="single"/>
              <w:bottom w:color="000000" w:space="0" w:sz="4" w:val="single"/>
              <w:right w:color="000000" w:space="0" w:sz="4" w:val="single"/>
            </w:tcBorders>
            <w:vAlign w:val="center"/>
          </w:tcPr>
          <w:p w:rsidR="00000000" w:rsidDel="00000000" w:rsidP="00000000" w:rsidRDefault="00000000" w:rsidRPr="00000000" w14:paraId="00000020">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COURSE SAND</w:t>
            </w:r>
          </w:p>
        </w:tc>
        <w:tc>
          <w:tcPr>
            <w:tcBorders>
              <w:top w:color="000000" w:space="0" w:sz="1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0.50 – 1.00</w:t>
            </w:r>
          </w:p>
        </w:tc>
        <w:tc>
          <w:tcPr>
            <w:tcBorders>
              <w:top w:color="000000" w:space="0" w:sz="1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35</w:t>
            </w:r>
          </w:p>
        </w:tc>
        <w:tc>
          <w:tcPr>
            <w:vMerge w:val="restart"/>
            <w:tcBorders>
              <w:top w:color="000000" w:space="0" w:sz="18" w:val="single"/>
              <w:left w:color="000000" w:space="0" w:sz="4" w:val="single"/>
              <w:bottom w:color="000000" w:space="0" w:sz="0" w:val="nil"/>
            </w:tcBorders>
            <w:vAlign w:val="center"/>
          </w:tcPr>
          <w:p w:rsidR="00000000" w:rsidDel="00000000" w:rsidP="00000000" w:rsidRDefault="00000000" w:rsidRPr="00000000" w14:paraId="00000023">
            <w:pPr>
              <w:spacing w:after="0" w:lineRule="auto"/>
              <w:ind w:hanging="360"/>
              <w:jc w:val="center"/>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24">
            <w:pPr>
              <w:spacing w:after="0" w:lineRule="auto"/>
              <w:ind w:hanging="360"/>
              <w:jc w:val="cente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   82 – 100</w:t>
            </w:r>
            <w:r w:rsidDel="00000000" w:rsidR="00000000" w:rsidRPr="00000000">
              <w:rPr>
                <w:rtl w:val="0"/>
              </w:rPr>
            </w:r>
          </w:p>
          <w:p w:rsidR="00000000" w:rsidDel="00000000" w:rsidP="00000000" w:rsidRDefault="00000000" w:rsidRPr="00000000" w14:paraId="00000025">
            <w:pPr>
              <w:spacing w:after="0" w:lineRule="auto"/>
              <w:ind w:hanging="360"/>
              <w:jc w:val="center"/>
              <w:rPr>
                <w:rFonts w:ascii="Verdana" w:cs="Verdana" w:eastAsia="Verdana" w:hAnsi="Verdana"/>
                <w:sz w:val="18"/>
                <w:szCs w:val="18"/>
                <w:vertAlign w:val="baseline"/>
              </w:rPr>
            </w:pPr>
            <w:r w:rsidDel="00000000" w:rsidR="00000000" w:rsidRPr="00000000">
              <w:rPr>
                <w:rtl w:val="0"/>
              </w:rPr>
            </w:r>
          </w:p>
        </w:tc>
      </w:tr>
      <w:tr>
        <w:trPr>
          <w:cantSplit w:val="1"/>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after="0" w:lineRule="auto"/>
              <w:ind w:hanging="360"/>
              <w:jc w:val="cente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     MEDIUM SAND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after="0" w:lineRule="auto"/>
              <w:ind w:hanging="360"/>
              <w:jc w:val="cente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  0.25 – 0.50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0" w:lineRule="auto"/>
              <w:ind w:hanging="360"/>
              <w:jc w:val="cente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 60</w:t>
            </w:r>
            <w:r w:rsidDel="00000000" w:rsidR="00000000" w:rsidRPr="00000000">
              <w:rPr>
                <w:rtl w:val="0"/>
              </w:rPr>
            </w:r>
          </w:p>
        </w:tc>
        <w:tc>
          <w:tcPr>
            <w:vMerge w:val="continue"/>
            <w:tcBorders>
              <w:top w:color="000000" w:space="0" w:sz="18" w:val="single"/>
              <w:left w:color="000000" w:space="0" w:sz="4" w:val="single"/>
              <w:bottom w:color="000000" w:space="0" w:sz="0" w:val="nil"/>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sz w:val="18"/>
                <w:szCs w:val="18"/>
                <w:vertAlign w:val="baseline"/>
              </w:rPr>
            </w:pPr>
            <w:r w:rsidDel="00000000" w:rsidR="00000000" w:rsidRPr="00000000">
              <w:rPr>
                <w:rtl w:val="0"/>
              </w:rPr>
            </w:r>
          </w:p>
        </w:tc>
      </w:tr>
      <w:tr>
        <w:trPr>
          <w:cantSplit w:val="1"/>
          <w:tblHeader w:val="0"/>
        </w:trPr>
        <w:tc>
          <w:tcPr>
            <w:tcBorders>
              <w:top w:color="000000" w:space="0" w:sz="4" w:val="single"/>
              <w:bottom w:color="000000" w:space="0" w:sz="18" w:val="single"/>
              <w:right w:color="000000" w:space="0" w:sz="4" w:val="single"/>
            </w:tcBorders>
            <w:vAlign w:val="center"/>
          </w:tcPr>
          <w:p w:rsidR="00000000" w:rsidDel="00000000" w:rsidP="00000000" w:rsidRDefault="00000000" w:rsidRPr="00000000" w14:paraId="0000002A">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FINE SAND</w:t>
            </w:r>
          </w:p>
        </w:tc>
        <w:tc>
          <w:tcPr>
            <w:tcBorders>
              <w:top w:color="000000" w:space="0" w:sz="4"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02B">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0.10 – 0.25</w:t>
            </w:r>
          </w:p>
        </w:tc>
        <w:tc>
          <w:tcPr>
            <w:tcBorders>
              <w:top w:color="000000" w:space="0" w:sz="4"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02C">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140</w:t>
            </w:r>
          </w:p>
        </w:tc>
        <w:tc>
          <w:tcPr>
            <w:vMerge w:val="continue"/>
            <w:tcBorders>
              <w:top w:color="000000" w:space="0" w:sz="18" w:val="single"/>
              <w:left w:color="000000" w:space="0" w:sz="4" w:val="single"/>
              <w:bottom w:color="000000" w:space="0" w:sz="0" w:val="nil"/>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vertAlign w:val="baseline"/>
              </w:rPr>
            </w:pPr>
            <w:r w:rsidDel="00000000" w:rsidR="00000000" w:rsidRPr="00000000">
              <w:rPr>
                <w:rtl w:val="0"/>
              </w:rPr>
            </w:r>
          </w:p>
        </w:tc>
      </w:tr>
      <w:tr>
        <w:trPr>
          <w:cantSplit w:val="1"/>
          <w:tblHeader w:val="0"/>
        </w:trPr>
        <w:tc>
          <w:tcPr>
            <w:tcBorders>
              <w:top w:color="000000" w:space="0" w:sz="18" w:val="single"/>
              <w:bottom w:color="000000" w:space="0" w:sz="4" w:val="single"/>
              <w:right w:color="000000" w:space="0" w:sz="4" w:val="single"/>
            </w:tcBorders>
            <w:vAlign w:val="center"/>
          </w:tcPr>
          <w:p w:rsidR="00000000" w:rsidDel="00000000" w:rsidP="00000000" w:rsidRDefault="00000000" w:rsidRPr="00000000" w14:paraId="0000002E">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VERY FINE SAND</w:t>
            </w:r>
          </w:p>
        </w:tc>
        <w:tc>
          <w:tcPr>
            <w:tcBorders>
              <w:top w:color="000000" w:space="0" w:sz="1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0.05 – 0.10</w:t>
            </w:r>
          </w:p>
        </w:tc>
        <w:tc>
          <w:tcPr>
            <w:tcBorders>
              <w:top w:color="000000" w:space="0" w:sz="1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270</w:t>
            </w:r>
          </w:p>
        </w:tc>
        <w:tc>
          <w:tcPr>
            <w:vMerge w:val="restart"/>
            <w:tcBorders>
              <w:top w:color="000000" w:space="0" w:sz="18" w:val="single"/>
              <w:left w:color="000000" w:space="0" w:sz="4" w:val="single"/>
            </w:tcBorders>
            <w:vAlign w:val="center"/>
          </w:tcPr>
          <w:p w:rsidR="00000000" w:rsidDel="00000000" w:rsidP="00000000" w:rsidRDefault="00000000" w:rsidRPr="00000000" w14:paraId="00000031">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0 – 8</w:t>
            </w:r>
          </w:p>
          <w:p w:rsidR="00000000" w:rsidDel="00000000" w:rsidP="00000000" w:rsidRDefault="00000000" w:rsidRPr="00000000" w14:paraId="00000032">
            <w:pPr>
              <w:spacing w:after="0" w:lineRule="auto"/>
              <w:ind w:hanging="360"/>
              <w:jc w:val="center"/>
              <w:rPr>
                <w:rFonts w:ascii="Verdana" w:cs="Verdana" w:eastAsia="Verdana" w:hAnsi="Verdana"/>
                <w:sz w:val="18"/>
                <w:szCs w:val="18"/>
                <w:vertAlign w:val="baseline"/>
              </w:rPr>
            </w:pPr>
            <w:r w:rsidDel="00000000" w:rsidR="00000000" w:rsidRPr="00000000">
              <w:rPr>
                <w:rtl w:val="0"/>
              </w:rPr>
            </w:r>
          </w:p>
        </w:tc>
      </w:tr>
      <w:tr>
        <w:trPr>
          <w:cantSplit w:val="1"/>
          <w:tblHeader w:val="0"/>
        </w:trPr>
        <w:tc>
          <w:tcPr>
            <w:tcBorders>
              <w:top w:color="000000" w:space="0" w:sz="4" w:val="single"/>
              <w:right w:color="000000" w:space="0" w:sz="4" w:val="single"/>
            </w:tcBorders>
            <w:vAlign w:val="top"/>
          </w:tcPr>
          <w:p w:rsidR="00000000" w:rsidDel="00000000" w:rsidP="00000000" w:rsidRDefault="00000000" w:rsidRPr="00000000" w14:paraId="00000033">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SILT AND CLAY</w:t>
            </w:r>
          </w:p>
        </w:tc>
        <w:tc>
          <w:tcPr>
            <w:tcBorders>
              <w:top w:color="000000" w:space="0" w:sz="4" w:val="single"/>
              <w:left w:color="000000" w:space="0" w:sz="4" w:val="single"/>
              <w:bottom w:color="000000" w:space="0" w:sz="18" w:val="single"/>
              <w:right w:color="000000" w:space="0" w:sz="4" w:val="single"/>
            </w:tcBorders>
            <w:vAlign w:val="top"/>
          </w:tcPr>
          <w:p w:rsidR="00000000" w:rsidDel="00000000" w:rsidP="00000000" w:rsidRDefault="00000000" w:rsidRPr="00000000" w14:paraId="00000034">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under 0.05</w:t>
            </w:r>
          </w:p>
        </w:tc>
        <w:tc>
          <w:tcPr>
            <w:tcBorders>
              <w:top w:color="000000" w:space="0" w:sz="4"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035">
            <w:pPr>
              <w:spacing w:after="0" w:lineRule="auto"/>
              <w:ind w:hanging="36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Merge w:val="continue"/>
            <w:tcBorders>
              <w:top w:color="000000" w:space="0" w:sz="18" w:val="single"/>
              <w:left w:color="000000" w:space="0" w:sz="4"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vertAlign w:val="baseline"/>
              </w:rPr>
            </w:pPr>
            <w:r w:rsidDel="00000000" w:rsidR="00000000" w:rsidRPr="00000000">
              <w:rPr>
                <w:rtl w:val="0"/>
              </w:rPr>
            </w:r>
          </w:p>
        </w:tc>
      </w:tr>
    </w:tbl>
    <w:p w:rsidR="00000000" w:rsidDel="00000000" w:rsidP="00000000" w:rsidRDefault="00000000" w:rsidRPr="00000000" w14:paraId="00000037">
      <w:pPr>
        <w:spacing w:after="0" w:lineRule="auto"/>
        <w:ind w:left="1980" w:hanging="36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38">
      <w:pPr>
        <w:spacing w:after="0" w:lineRule="auto"/>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9">
      <w:pPr>
        <w:pStyle w:val="Heading2"/>
        <w:spacing w:after="0" w:before="0" w:line="276" w:lineRule="auto"/>
        <w:rPr>
          <w:rFonts w:ascii="Verdana" w:cs="Verdana" w:eastAsia="Verdana" w:hAnsi="Verdana"/>
          <w:i w:val="0"/>
          <w:sz w:val="24"/>
          <w:szCs w:val="24"/>
          <w:u w:val="single"/>
          <w:vertAlign w:val="baseline"/>
        </w:rPr>
      </w:pPr>
      <w:r w:rsidDel="00000000" w:rsidR="00000000" w:rsidRPr="00000000">
        <w:rPr>
          <w:rFonts w:ascii="Verdana" w:cs="Verdana" w:eastAsia="Verdana" w:hAnsi="Verdana"/>
          <w:b w:val="1"/>
          <w:i w:val="0"/>
          <w:sz w:val="24"/>
          <w:szCs w:val="24"/>
          <w:u w:val="single"/>
          <w:vertAlign w:val="baseline"/>
          <w:rtl w:val="0"/>
        </w:rPr>
        <w:t xml:space="preserve">3) Execution &amp; Installation</w:t>
      </w:r>
      <w:r w:rsidDel="00000000" w:rsidR="00000000" w:rsidRPr="00000000">
        <w:rPr>
          <w:rtl w:val="0"/>
        </w:rPr>
      </w:r>
    </w:p>
    <w:p w:rsidR="00000000" w:rsidDel="00000000" w:rsidP="00000000" w:rsidRDefault="00000000" w:rsidRPr="00000000" w14:paraId="0000003A">
      <w:pPr>
        <w:pStyle w:val="Heading3"/>
        <w:spacing w:after="0" w:before="0" w:line="276" w:lineRule="auto"/>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3B">
      <w:pPr>
        <w:pStyle w:val="Heading3"/>
        <w:spacing w:after="0" w:before="0" w:line="276" w:lineRule="auto"/>
        <w:ind w:left="360" w:hanging="360"/>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3.1</w:t>
        <w:tab/>
        <w:t xml:space="preserve"> SUBGRADE PREPARATION</w:t>
      </w:r>
      <w:r w:rsidDel="00000000" w:rsidR="00000000" w:rsidRPr="00000000">
        <w:rPr>
          <w:rtl w:val="0"/>
        </w:rPr>
      </w:r>
    </w:p>
    <w:p w:rsidR="00000000" w:rsidDel="00000000" w:rsidP="00000000" w:rsidRDefault="00000000" w:rsidRPr="00000000" w14:paraId="0000003C">
      <w:pPr>
        <w:spacing w:after="0" w:lineRule="auto"/>
        <w:ind w:hanging="36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D">
      <w:pPr>
        <w:numPr>
          <w:ilvl w:val="0"/>
          <w:numId w:val="1"/>
        </w:numPr>
        <w:spacing w:after="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Excavated containment area(s) shall be prepared by others prior to subgrade preparation to receive a minimum 6-inch profile of imported washed sand blended with bales of Netlon ATS.</w:t>
      </w:r>
    </w:p>
    <w:p w:rsidR="00000000" w:rsidDel="00000000" w:rsidP="00000000" w:rsidRDefault="00000000" w:rsidRPr="00000000" w14:paraId="0000003E">
      <w:pPr>
        <w:spacing w:after="0" w:lineRule="auto"/>
        <w:ind w:left="720" w:hanging="36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F">
      <w:pPr>
        <w:numPr>
          <w:ilvl w:val="0"/>
          <w:numId w:val="1"/>
        </w:numPr>
        <w:spacing w:after="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The base of the containment area(s) shall be “laser level” flat and sloped 0% in all directions with a grading tolerance of +/- 0.50 inches.</w:t>
      </w:r>
    </w:p>
    <w:p w:rsidR="00000000" w:rsidDel="00000000" w:rsidP="00000000" w:rsidRDefault="00000000" w:rsidRPr="00000000" w14:paraId="00000040">
      <w:pPr>
        <w:spacing w:after="0" w:lineRule="auto"/>
        <w:ind w:left="720" w:hanging="36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1">
      <w:pPr>
        <w:numPr>
          <w:ilvl w:val="0"/>
          <w:numId w:val="1"/>
        </w:numPr>
        <w:spacing w:after="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After the subgrade has been properly graded, it shall be compacted using a suitable vibrating roller or compactor to the recommended Standard Proctor Density as outlined in the Geotechnical Report (provided by others).  </w:t>
      </w:r>
    </w:p>
    <w:p w:rsidR="00000000" w:rsidDel="00000000" w:rsidP="00000000" w:rsidRDefault="00000000" w:rsidRPr="00000000" w14:paraId="00000042">
      <w:pPr>
        <w:spacing w:after="0" w:lineRule="auto"/>
        <w:ind w:left="720" w:hanging="36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3">
      <w:pPr>
        <w:pStyle w:val="Heading3"/>
        <w:spacing w:after="0" w:before="0" w:line="276" w:lineRule="auto"/>
        <w:ind w:left="360" w:hanging="360"/>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3.2</w:t>
        <w:tab/>
        <w:t xml:space="preserve"> SUBGRADE EVALUATION AND FINISH</w:t>
      </w:r>
      <w:r w:rsidDel="00000000" w:rsidR="00000000" w:rsidRPr="00000000">
        <w:rPr>
          <w:rtl w:val="0"/>
        </w:rPr>
      </w:r>
    </w:p>
    <w:p w:rsidR="00000000" w:rsidDel="00000000" w:rsidP="00000000" w:rsidRDefault="00000000" w:rsidRPr="00000000" w14:paraId="00000044">
      <w:pPr>
        <w:spacing w:after="0" w:lineRule="auto"/>
        <w:ind w:left="720" w:hanging="36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5">
      <w:pPr>
        <w:numPr>
          <w:ilvl w:val="1"/>
          <w:numId w:val="1"/>
        </w:numPr>
        <w:spacing w:after="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After subgrade compaction, the end result should be a smooth, level and compacted surface sloped 0% in all directions with a grading tolerance of +/- 0.50 inches (as specified above).  The subgrade shall be free of sharp objects and must be approved by Owner’s Representative prior to placement of Netlon ATS.</w:t>
      </w:r>
    </w:p>
    <w:p w:rsidR="00000000" w:rsidDel="00000000" w:rsidP="00000000" w:rsidRDefault="00000000" w:rsidRPr="00000000" w14:paraId="00000046">
      <w:pPr>
        <w:spacing w:after="0" w:lineRule="auto"/>
        <w:ind w:left="720" w:hanging="36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7">
      <w:pPr>
        <w:numPr>
          <w:ilvl w:val="1"/>
          <w:numId w:val="1"/>
        </w:numPr>
        <w:spacing w:after="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If the Contractor encounters unsuitable material for constructing a subgrade per the specifications of Section 3.1, they shall develop and present a plan to Owner’s Representative for approval prior to placement of Netlon ATS.  </w:t>
      </w:r>
    </w:p>
    <w:p w:rsidR="00000000" w:rsidDel="00000000" w:rsidP="00000000" w:rsidRDefault="00000000" w:rsidRPr="00000000" w14:paraId="00000048">
      <w:pPr>
        <w:spacing w:after="0" w:lineRule="auto"/>
        <w:ind w:hanging="36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9">
      <w:pPr>
        <w:spacing w:after="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3.3  INSTALLATION OF NETLON ATS </w:t>
      </w:r>
      <w:r w:rsidDel="00000000" w:rsidR="00000000" w:rsidRPr="00000000">
        <w:rPr>
          <w:rtl w:val="0"/>
        </w:rPr>
      </w:r>
    </w:p>
    <w:p w:rsidR="00000000" w:rsidDel="00000000" w:rsidP="00000000" w:rsidRDefault="00000000" w:rsidRPr="00000000" w14:paraId="0000004A">
      <w:pPr>
        <w:spacing w:after="0" w:lineRule="auto"/>
        <w:ind w:left="720" w:hanging="36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B">
      <w:pPr>
        <w:numPr>
          <w:ilvl w:val="1"/>
          <w:numId w:val="4"/>
        </w:numPr>
        <w:spacing w:after="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Netlon ATS bales shall be incorporated with a Blecavator or approved equal (pre-blended with a loader or skid-steer) from finish grade to 6-inches below finish grade in designated areas (as specified on plans by others).</w:t>
      </w:r>
    </w:p>
    <w:p w:rsidR="00000000" w:rsidDel="00000000" w:rsidP="00000000" w:rsidRDefault="00000000" w:rsidRPr="00000000" w14:paraId="0000004C">
      <w:pPr>
        <w:spacing w:after="0" w:lineRule="auto"/>
        <w:ind w:left="720" w:hanging="36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D">
      <w:pPr>
        <w:numPr>
          <w:ilvl w:val="1"/>
          <w:numId w:val="4"/>
        </w:numPr>
        <w:spacing w:after="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One (1) bale of Netlon ATS shall be used for every five (7) cubic yards of imported sand or for every 370 sq. ft. when specifying a 6-inch installation depth.  A profile reinforced with 6-inches of Netlon ATS shall support equipment or other vehicles for mowing or maintenance no heavier than a 1-ton pick-up truck.</w:t>
      </w:r>
    </w:p>
    <w:p w:rsidR="00000000" w:rsidDel="00000000" w:rsidP="00000000" w:rsidRDefault="00000000" w:rsidRPr="00000000" w14:paraId="0000004E">
      <w:pPr>
        <w:spacing w:after="0" w:lineRule="auto"/>
        <w:ind w:left="720" w:hanging="36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F">
      <w:pPr>
        <w:numPr>
          <w:ilvl w:val="1"/>
          <w:numId w:val="4"/>
        </w:numPr>
        <w:spacing w:after="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Areas where Netlon ATS is installed must have soil amendments incorporated with a Blecavator or approved equal (pre-blended with a loader or skid-steer) at the same time in conjunction with the Netlon ATS to avoid a secondary disturbance of blended ATS elements.  Take care not to damage subsurface components.</w:t>
      </w:r>
    </w:p>
    <w:p w:rsidR="00000000" w:rsidDel="00000000" w:rsidP="00000000" w:rsidRDefault="00000000" w:rsidRPr="00000000" w14:paraId="00000050">
      <w:pPr>
        <w:spacing w:after="0" w:lineRule="auto"/>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51">
      <w:pPr>
        <w:numPr>
          <w:ilvl w:val="1"/>
          <w:numId w:val="4"/>
        </w:numPr>
        <w:tabs>
          <w:tab w:val="left" w:leader="none" w:pos="720"/>
        </w:tabs>
        <w:spacing w:after="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Upon final completion of the installation of Netlon ATS, burn off of the exposed Netlon ATS mesh pieces (if seeding is proposed), and approval by Owner’s Representative has been provided, proceed to vegetation installation (Section 3.4).</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spacing w:after="0" w:lineRule="auto"/>
        <w:ind w:left="144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54">
      <w:pPr>
        <w:pStyle w:val="Heading3"/>
        <w:spacing w:after="0" w:before="0" w:line="276" w:lineRule="auto"/>
        <w:ind w:left="360" w:hanging="360"/>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3.4  INSTALLATION OF VEGETATION (SEED or SOD)</w:t>
      </w:r>
      <w:r w:rsidDel="00000000" w:rsidR="00000000" w:rsidRPr="00000000">
        <w:rPr>
          <w:rtl w:val="0"/>
        </w:rPr>
      </w:r>
    </w:p>
    <w:p w:rsidR="00000000" w:rsidDel="00000000" w:rsidP="00000000" w:rsidRDefault="00000000" w:rsidRPr="00000000" w14:paraId="00000055">
      <w:pPr>
        <w:pStyle w:val="Heading3"/>
        <w:spacing w:after="0" w:before="0" w:line="276" w:lineRule="auto"/>
        <w:ind w:hanging="36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56">
      <w:pPr>
        <w:pStyle w:val="Heading3"/>
        <w:numPr>
          <w:ilvl w:val="0"/>
          <w:numId w:val="2"/>
        </w:numPr>
        <w:spacing w:after="0" w:before="0" w:line="276" w:lineRule="auto"/>
        <w:ind w:left="720" w:hanging="360"/>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Before </w:t>
      </w:r>
      <w:r w:rsidDel="00000000" w:rsidR="00000000" w:rsidRPr="00000000">
        <w:rPr>
          <w:rFonts w:ascii="Verdana" w:cs="Verdana" w:eastAsia="Verdana" w:hAnsi="Verdana"/>
          <w:b w:val="0"/>
          <w:sz w:val="20"/>
          <w:szCs w:val="20"/>
          <w:u w:val="single"/>
          <w:vertAlign w:val="baseline"/>
          <w:rtl w:val="0"/>
        </w:rPr>
        <w:t xml:space="preserve">seed OR sod</w:t>
      </w:r>
      <w:r w:rsidDel="00000000" w:rsidR="00000000" w:rsidRPr="00000000">
        <w:rPr>
          <w:rFonts w:ascii="Verdana" w:cs="Verdana" w:eastAsia="Verdana" w:hAnsi="Verdana"/>
          <w:b w:val="0"/>
          <w:sz w:val="20"/>
          <w:szCs w:val="20"/>
          <w:vertAlign w:val="baseline"/>
          <w:rtl w:val="0"/>
        </w:rPr>
        <w:t xml:space="preserve"> is applied, Owner’s Representative must inspect the field.  Seed or sod shall not be applied until settling is not apparent.</w:t>
      </w:r>
    </w:p>
    <w:p w:rsidR="00000000" w:rsidDel="00000000" w:rsidP="00000000" w:rsidRDefault="00000000" w:rsidRPr="00000000" w14:paraId="00000057">
      <w:pPr>
        <w:spacing w:after="0" w:lineRule="auto"/>
        <w:ind w:left="720" w:hanging="36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58">
      <w:pPr>
        <w:numPr>
          <w:ilvl w:val="0"/>
          <w:numId w:val="2"/>
        </w:numPr>
        <w:spacing w:after="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u w:val="single"/>
          <w:vertAlign w:val="baseline"/>
          <w:rtl w:val="0"/>
        </w:rPr>
        <w:t xml:space="preserve">For seed</w:t>
      </w:r>
      <w:r w:rsidDel="00000000" w:rsidR="00000000" w:rsidRPr="00000000">
        <w:rPr>
          <w:rFonts w:ascii="Verdana" w:cs="Verdana" w:eastAsia="Verdana" w:hAnsi="Verdana"/>
          <w:sz w:val="20"/>
          <w:szCs w:val="20"/>
          <w:vertAlign w:val="baseline"/>
          <w:rtl w:val="0"/>
        </w:rPr>
        <w:t xml:space="preserve">, apply with a mechanical device such as a Brillion Seed Drill with minimum 2.28-inch spacing.  All applications must be in two (2) directions (90 degrees across) applying one half of the seed in each direction.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numPr>
          <w:ilvl w:val="0"/>
          <w:numId w:val="2"/>
        </w:numPr>
        <w:spacing w:after="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u w:val="single"/>
          <w:vertAlign w:val="baseline"/>
          <w:rtl w:val="0"/>
        </w:rPr>
        <w:t xml:space="preserve">For seed</w:t>
      </w:r>
      <w:r w:rsidDel="00000000" w:rsidR="00000000" w:rsidRPr="00000000">
        <w:rPr>
          <w:rFonts w:ascii="Verdana" w:cs="Verdana" w:eastAsia="Verdana" w:hAnsi="Verdana"/>
          <w:sz w:val="20"/>
          <w:szCs w:val="20"/>
          <w:vertAlign w:val="baseline"/>
          <w:rtl w:val="0"/>
        </w:rPr>
        <w:t xml:space="preserve">, apply four (4) to five (5) pounds of seed per 1,000 sq. ft. (194 pounds/acre)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numPr>
          <w:ilvl w:val="0"/>
          <w:numId w:val="2"/>
        </w:numPr>
        <w:spacing w:after="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u w:val="single"/>
          <w:vertAlign w:val="baseline"/>
          <w:rtl w:val="0"/>
        </w:rPr>
        <w:t xml:space="preserve">For seed</w:t>
      </w:r>
      <w:r w:rsidDel="00000000" w:rsidR="00000000" w:rsidRPr="00000000">
        <w:rPr>
          <w:rFonts w:ascii="Verdana" w:cs="Verdana" w:eastAsia="Verdana" w:hAnsi="Verdana"/>
          <w:sz w:val="20"/>
          <w:szCs w:val="20"/>
          <w:vertAlign w:val="baseline"/>
          <w:rtl w:val="0"/>
        </w:rPr>
        <w:t xml:space="preserve">, in the event there is lack of uniform turf establishment (washing or erosion from irrigation or rainfall) after a period of 30 days, the Contractor shall re-seed the affected areas at the specified rates.  The field will not be accepted as complete until there is uniform germination of turf grass plants.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numPr>
          <w:ilvl w:val="0"/>
          <w:numId w:val="2"/>
        </w:numPr>
        <w:spacing w:after="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u w:val="single"/>
          <w:vertAlign w:val="baseline"/>
          <w:rtl w:val="0"/>
        </w:rPr>
        <w:t xml:space="preserve">For sod</w:t>
      </w:r>
      <w:r w:rsidDel="00000000" w:rsidR="00000000" w:rsidRPr="00000000">
        <w:rPr>
          <w:rFonts w:ascii="Verdana" w:cs="Verdana" w:eastAsia="Verdana" w:hAnsi="Verdana"/>
          <w:sz w:val="20"/>
          <w:szCs w:val="20"/>
          <w:vertAlign w:val="baseline"/>
          <w:rtl w:val="0"/>
        </w:rPr>
        <w:t xml:space="preserve">, moistening sod after it is unrolled helps maintain viability. Store it in the shade during installation.</w:t>
      </w:r>
    </w:p>
    <w:p w:rsidR="00000000" w:rsidDel="00000000" w:rsidP="00000000" w:rsidRDefault="00000000" w:rsidRPr="00000000" w14:paraId="0000005F">
      <w:pPr>
        <w:spacing w:after="0" w:lineRule="auto"/>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60">
      <w:pPr>
        <w:numPr>
          <w:ilvl w:val="0"/>
          <w:numId w:val="2"/>
        </w:numPr>
        <w:spacing w:after="0" w:line="24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u w:val="single"/>
          <w:vertAlign w:val="baseline"/>
          <w:rtl w:val="0"/>
        </w:rPr>
        <w:t xml:space="preserve">For sod</w:t>
      </w:r>
      <w:r w:rsidDel="00000000" w:rsidR="00000000" w:rsidRPr="00000000">
        <w:rPr>
          <w:rFonts w:ascii="Verdana" w:cs="Verdana" w:eastAsia="Verdana" w:hAnsi="Verdana"/>
          <w:sz w:val="20"/>
          <w:szCs w:val="20"/>
          <w:vertAlign w:val="baseline"/>
          <w:rtl w:val="0"/>
        </w:rPr>
        <w:t xml:space="preserve">, during the summer, the sand should be wet on the surface before laying the sod to cool the sand and reduce root burning and dieback.</w:t>
      </w:r>
    </w:p>
    <w:p w:rsidR="00000000" w:rsidDel="00000000" w:rsidP="00000000" w:rsidRDefault="00000000" w:rsidRPr="00000000" w14:paraId="00000061">
      <w:pPr>
        <w:spacing w:after="0" w:line="240" w:lineRule="auto"/>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62">
      <w:pPr>
        <w:numPr>
          <w:ilvl w:val="0"/>
          <w:numId w:val="2"/>
        </w:numPr>
        <w:spacing w:after="0" w:line="24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u w:val="single"/>
          <w:vertAlign w:val="baseline"/>
          <w:rtl w:val="0"/>
        </w:rPr>
        <w:t xml:space="preserve">For sod</w:t>
      </w:r>
      <w:r w:rsidDel="00000000" w:rsidR="00000000" w:rsidRPr="00000000">
        <w:rPr>
          <w:rFonts w:ascii="Verdana" w:cs="Verdana" w:eastAsia="Verdana" w:hAnsi="Verdana"/>
          <w:sz w:val="20"/>
          <w:szCs w:val="20"/>
          <w:vertAlign w:val="baseline"/>
          <w:rtl w:val="0"/>
        </w:rPr>
        <w:t xml:space="preserve">, do not install sod on gravel or soils that may have been recently treated with sterilants or herbicides.</w:t>
      </w:r>
    </w:p>
    <w:p w:rsidR="00000000" w:rsidDel="00000000" w:rsidP="00000000" w:rsidRDefault="00000000" w:rsidRPr="00000000" w14:paraId="00000063">
      <w:pPr>
        <w:spacing w:after="0" w:line="240" w:lineRule="auto"/>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64">
      <w:pPr>
        <w:numPr>
          <w:ilvl w:val="0"/>
          <w:numId w:val="2"/>
        </w:numPr>
        <w:spacing w:after="0" w:line="24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u w:val="single"/>
          <w:vertAlign w:val="baseline"/>
          <w:rtl w:val="0"/>
        </w:rPr>
        <w:t xml:space="preserve">For sod</w:t>
      </w:r>
      <w:r w:rsidDel="00000000" w:rsidR="00000000" w:rsidRPr="00000000">
        <w:rPr>
          <w:rFonts w:ascii="Verdana" w:cs="Verdana" w:eastAsia="Verdana" w:hAnsi="Verdana"/>
          <w:sz w:val="20"/>
          <w:szCs w:val="20"/>
          <w:vertAlign w:val="baseline"/>
          <w:rtl w:val="0"/>
        </w:rPr>
        <w:t xml:space="preserve">, lay the first row of sod in a straight line with subsequent rows placed parallel to and butting tightly against each other. Stagger strips in a brick-like pattern. Be sure that the sod is not stretched or overlapped and that the joints are butted tightly to prevent voids. Use a knife or sharp spade to trim and fit irregularly shaped areas. </w:t>
      </w:r>
    </w:p>
    <w:p w:rsidR="00000000" w:rsidDel="00000000" w:rsidP="00000000" w:rsidRDefault="00000000" w:rsidRPr="00000000" w14:paraId="00000065">
      <w:pPr>
        <w:spacing w:after="0" w:line="240" w:lineRule="auto"/>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66">
      <w:pPr>
        <w:numPr>
          <w:ilvl w:val="0"/>
          <w:numId w:val="2"/>
        </w:numPr>
        <w:spacing w:after="0" w:line="24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u w:val="single"/>
          <w:vertAlign w:val="baseline"/>
          <w:rtl w:val="0"/>
        </w:rPr>
        <w:t xml:space="preserve">For sod</w:t>
      </w:r>
      <w:r w:rsidDel="00000000" w:rsidR="00000000" w:rsidRPr="00000000">
        <w:rPr>
          <w:rFonts w:ascii="Verdana" w:cs="Verdana" w:eastAsia="Verdana" w:hAnsi="Verdana"/>
          <w:sz w:val="20"/>
          <w:szCs w:val="20"/>
          <w:vertAlign w:val="baseline"/>
          <w:rtl w:val="0"/>
        </w:rPr>
        <w:t xml:space="preserve">, as sod has been placed on clearly defined areas, roll sod with drum-roller to provide firm contact between roots and sand.</w:t>
      </w:r>
    </w:p>
    <w:p w:rsidR="00000000" w:rsidDel="00000000" w:rsidP="00000000" w:rsidRDefault="00000000" w:rsidRPr="00000000" w14:paraId="00000067">
      <w:pPr>
        <w:spacing w:after="0" w:line="240" w:lineRule="auto"/>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68">
      <w:pPr>
        <w:numPr>
          <w:ilvl w:val="0"/>
          <w:numId w:val="2"/>
        </w:numPr>
        <w:spacing w:after="0" w:line="24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u w:val="single"/>
          <w:vertAlign w:val="baseline"/>
          <w:rtl w:val="0"/>
        </w:rPr>
        <w:t xml:space="preserve">For sod</w:t>
      </w:r>
      <w:r w:rsidDel="00000000" w:rsidR="00000000" w:rsidRPr="00000000">
        <w:rPr>
          <w:rFonts w:ascii="Verdana" w:cs="Verdana" w:eastAsia="Verdana" w:hAnsi="Verdana"/>
          <w:sz w:val="20"/>
          <w:szCs w:val="20"/>
          <w:vertAlign w:val="baseline"/>
          <w:rtl w:val="0"/>
        </w:rPr>
        <w:t xml:space="preserve">, after rolling, irrigate until the sand is wet 4 inches (102 mm) below sod.</w:t>
      </w:r>
    </w:p>
    <w:p w:rsidR="00000000" w:rsidDel="00000000" w:rsidP="00000000" w:rsidRDefault="00000000" w:rsidRPr="00000000" w14:paraId="00000069">
      <w:pPr>
        <w:spacing w:after="0" w:line="240" w:lineRule="auto"/>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6A">
      <w:pPr>
        <w:numPr>
          <w:ilvl w:val="0"/>
          <w:numId w:val="2"/>
        </w:numPr>
        <w:spacing w:after="0" w:line="24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u w:val="single"/>
          <w:vertAlign w:val="baseline"/>
          <w:rtl w:val="0"/>
        </w:rPr>
        <w:t xml:space="preserve">For sod</w:t>
      </w:r>
      <w:r w:rsidDel="00000000" w:rsidR="00000000" w:rsidRPr="00000000">
        <w:rPr>
          <w:rFonts w:ascii="Verdana" w:cs="Verdana" w:eastAsia="Verdana" w:hAnsi="Verdana"/>
          <w:sz w:val="20"/>
          <w:szCs w:val="20"/>
          <w:vertAlign w:val="baseline"/>
          <w:rtl w:val="0"/>
        </w:rPr>
        <w:t xml:space="preserve">, keep sodded areas moist to a depth of 4 inches (102 mm) until the grass takes root. This can be determined by gently tugging on the sod – resistance indicates that rooting has occurred.</w:t>
      </w:r>
    </w:p>
    <w:p w:rsidR="00000000" w:rsidDel="00000000" w:rsidP="00000000" w:rsidRDefault="00000000" w:rsidRPr="00000000" w14:paraId="0000006B">
      <w:pPr>
        <w:spacing w:after="0" w:line="240" w:lineRule="auto"/>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6C">
      <w:pPr>
        <w:numPr>
          <w:ilvl w:val="0"/>
          <w:numId w:val="2"/>
        </w:numPr>
        <w:spacing w:after="0" w:line="24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u w:val="single"/>
          <w:vertAlign w:val="baseline"/>
          <w:rtl w:val="0"/>
        </w:rPr>
        <w:t xml:space="preserve">For sod</w:t>
      </w:r>
      <w:r w:rsidDel="00000000" w:rsidR="00000000" w:rsidRPr="00000000">
        <w:rPr>
          <w:rFonts w:ascii="Verdana" w:cs="Verdana" w:eastAsia="Verdana" w:hAnsi="Verdana"/>
          <w:sz w:val="20"/>
          <w:szCs w:val="20"/>
          <w:vertAlign w:val="baseline"/>
          <w:rtl w:val="0"/>
        </w:rPr>
        <w:t xml:space="preserve">, mowing should not be attempted until the sod is firmly rooted, usually 2-3 weeks after installation.</w:t>
        <w:tab/>
        <w:t xml:space="preserve">  </w:t>
      </w:r>
    </w:p>
    <w:p w:rsidR="00000000" w:rsidDel="00000000" w:rsidP="00000000" w:rsidRDefault="00000000" w:rsidRPr="00000000" w14:paraId="0000006D">
      <w:pPr>
        <w:spacing w:after="0" w:lineRule="auto"/>
        <w:ind w:left="36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spacing w:after="0" w:line="360" w:lineRule="auto"/>
        <w:ind w:left="36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spacing w:after="0" w:lineRule="auto"/>
        <w:ind w:hanging="360"/>
        <w:rP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720"/>
      </w:tabs>
      <w:spacing w:after="0" w:before="0" w:line="240" w:lineRule="auto"/>
      <w:ind w:left="-36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Typical Specifications for 6-inch Netlon ATS/Sand Profile </w:t>
      <w:tab/>
      <w:t xml:space="preserve">   01/21/14</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72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720"/>
      </w:tabs>
      <w:spacing w:after="0" w:before="0" w:line="240" w:lineRule="auto"/>
      <w:ind w:left="-36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8" w:hanging="360"/>
      </w:pPr>
      <w:rPr>
        <w:rFonts w:ascii="Arial" w:cs="Arial" w:eastAsia="Arial" w:hAnsi="Arial"/>
        <w:u w:val="none"/>
        <w:vertAlign w:val="baseline"/>
      </w:rPr>
    </w:lvl>
    <w:lvl w:ilvl="1">
      <w:start w:val="1"/>
      <w:numFmt w:val="upp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2"/>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2"/>
      <w:numFmt w:val="upperLetter"/>
      <w:lvlText w:val="%3."/>
      <w:lvlJc w:val="left"/>
      <w:pPr>
        <w:ind w:left="3420" w:hanging="36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lvl w:ilvl="0">
      <w:start w:val="4"/>
      <w:numFmt w:val="upperLetter"/>
      <w:lvlText w:val="%1."/>
      <w:lvlJc w:val="left"/>
      <w:pPr>
        <w:ind w:left="1448" w:hanging="360"/>
      </w:pPr>
      <w:rPr>
        <w:rFonts w:ascii="Arial" w:cs="Arial" w:eastAsia="Arial" w:hAnsi="Arial"/>
        <w:u w:val="none"/>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240" w:lineRule="auto"/>
      <w:ind w:leftChars="-1" w:rightChars="0" w:firstLineChars="-1"/>
      <w:textDirection w:val="btLr"/>
      <w:textAlignment w:val="top"/>
      <w:outlineLvl w:val="0"/>
    </w:pPr>
    <w:rPr>
      <w:rFonts w:ascii="Arial" w:cs="Arial" w:eastAsia="Times New Roman" w:hAnsi="Arial"/>
      <w:b w:val="1"/>
      <w:bCs w:val="1"/>
      <w:w w:val="100"/>
      <w:kern w:val="32"/>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after="60" w:before="240" w:line="240" w:lineRule="auto"/>
      <w:ind w:leftChars="-1" w:rightChars="0" w:firstLineChars="-1"/>
      <w:textDirection w:val="btLr"/>
      <w:textAlignment w:val="top"/>
      <w:outlineLvl w:val="1"/>
    </w:pPr>
    <w:rPr>
      <w:rFonts w:ascii="Arial" w:cs="Arial" w:eastAsia="Times New Roman" w:hAnsi="Arial"/>
      <w:b w:val="1"/>
      <w:bCs w:val="1"/>
      <w:i w:val="1"/>
      <w:iCs w:val="1"/>
      <w:w w:val="100"/>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240" w:lineRule="auto"/>
      <w:ind w:leftChars="-1" w:rightChars="0" w:firstLineChars="-1"/>
      <w:textDirection w:val="btLr"/>
      <w:textAlignment w:val="top"/>
      <w:outlineLvl w:val="2"/>
    </w:pPr>
    <w:rPr>
      <w:rFonts w:ascii="Arial" w:cs="Arial" w:eastAsia="Times New Roman" w:hAnsi="Arial"/>
      <w:b w:val="1"/>
      <w:b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Arial" w:eastAsia="Times New Roman" w:hAnsi="Arial"/>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Arial" w:cs="Arial" w:eastAsia="Times New Roman" w:hAnsi="Arial"/>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Arial" w:cs="Arial" w:eastAsia="Times New Roman" w:hAnsi="Arial"/>
      <w:b w:val="1"/>
      <w:bCs w:val="1"/>
      <w:w w:val="100"/>
      <w:position w:val="-1"/>
      <w:sz w:val="26"/>
      <w:szCs w:val="26"/>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RESBodyText">
    <w:name w:val="RES Body Text"/>
    <w:basedOn w:val="BodyText"/>
    <w:next w:val="RESBodyText"/>
    <w:autoRedefine w:val="0"/>
    <w:hidden w:val="0"/>
    <w:qFormat w:val="0"/>
    <w:pPr>
      <w:suppressAutoHyphens w:val="1"/>
      <w:spacing w:after="240" w:line="240" w:lineRule="atLeast"/>
      <w:ind w:leftChars="-1" w:rightChars="0" w:firstLineChars="-1"/>
      <w:textDirection w:val="btLr"/>
      <w:textAlignment w:val="top"/>
      <w:outlineLvl w:val="0"/>
    </w:pPr>
    <w:rPr>
      <w:rFonts w:ascii="Arial" w:eastAsia="Times New Roman" w:hAnsi="Arial"/>
      <w:w w:val="100"/>
      <w:position w:val="-1"/>
      <w:sz w:val="20"/>
      <w:szCs w:val="20"/>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2"/>
      <w:szCs w:val="22"/>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Comment Text"/>
    <w:basedOn w:val="Normal"/>
    <w:next w:val="CommentText"/>
    <w:autoRedefine w:val="0"/>
    <w:hidden w:val="0"/>
    <w:qFormat w:val="0"/>
    <w:pPr>
      <w:suppressAutoHyphens w:val="1"/>
      <w:spacing w:after="0" w:line="240" w:lineRule="auto"/>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Times New Roman" w:eastAsia="Times New Roman" w:hAnsi="Times New Roman"/>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after="0" w:line="240" w:lineRule="auto"/>
      <w:ind w:leftChars="-1" w:rightChars="0" w:firstLineChars="-1"/>
      <w:textDirection w:val="btLr"/>
      <w:textAlignment w:val="top"/>
      <w:outlineLvl w:val="0"/>
    </w:pPr>
    <w:rPr>
      <w:rFonts w:ascii="Times New Roman" w:eastAsia="Times New Roman" w:hAnsi="Times New Roman"/>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Times New Roman" w:eastAsia="Times New Roman" w:hAnsi="Times New Roman"/>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tRcdMPJUX4/US0hsRq7HVo66w==">CgMxLjA4AHIhMXBaVXJ6V2NiT0UyS3hlX1RzTGpaRnQzbi1oUXVqSWhq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2014-03-28T23:13:00Z</dcterms:created>
  <dc:creator>Owner</dc:creator>
</cp:coreProperties>
</file>